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EA" w:rsidRPr="00241FB6" w:rsidRDefault="00151CEA" w:rsidP="00151CEA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41FB6">
        <w:rPr>
          <w:rFonts w:ascii="Times New Roman" w:hAnsi="Times New Roman"/>
          <w:b/>
          <w:sz w:val="28"/>
          <w:szCs w:val="28"/>
        </w:rPr>
        <w:t>Кількість допомог на поховання зросла на 15% за підсумками трьох кварталів</w:t>
      </w:r>
    </w:p>
    <w:p w:rsidR="00151CEA" w:rsidRPr="00241FB6" w:rsidRDefault="00151CEA" w:rsidP="00151C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Упродовж перших ІІІ кварталів 2021 року Фонд соціального страхування України прийняв на фінансування допомоги на поховання родинам 9,3 тис. працюючих українців. Це на 14,9% більше, ніж за той же період 2020 року.</w:t>
      </w:r>
    </w:p>
    <w:p w:rsidR="00151CEA" w:rsidRPr="00241FB6" w:rsidRDefault="00151CEA" w:rsidP="00151C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Загальна сума призначених допомог склала 38 мільйонів гривень. Допомоги нараховано сім’ям померлих або особам, які здійснили поховання, у розмірі 4 100 гривень.</w:t>
      </w:r>
    </w:p>
    <w:p w:rsidR="00151CEA" w:rsidRPr="00241FB6" w:rsidRDefault="00151CEA" w:rsidP="00151C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Призначення допомоги здійснюється на підставі свідоцтва про смерть та оригіналу витягу з Державного реєстру актів цивільного стану громадян про смерть або оригіналу довідки про смерть, виданих для отримання допомоги на поховання.</w:t>
      </w:r>
    </w:p>
    <w:p w:rsidR="00151CEA" w:rsidRPr="00241FB6" w:rsidRDefault="00151CEA" w:rsidP="00151CE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 xml:space="preserve">Зазначимо, допомога на поховання також надається у разі смерті членів сім’ї, які перебували на утриманні застрахованої особи (не </w:t>
      </w:r>
      <w:r w:rsidRPr="00241FB6">
        <w:rPr>
          <w:rFonts w:ascii="Times New Roman" w:hAnsi="Times New Roman"/>
          <w:sz w:val="28"/>
          <w:szCs w:val="28"/>
          <w:shd w:val="clear" w:color="auto" w:fill="FFFFFF"/>
        </w:rPr>
        <w:t>мали самостійних джерел засобів до існування)</w:t>
      </w:r>
      <w:r w:rsidRPr="00241FB6">
        <w:rPr>
          <w:rFonts w:ascii="Times New Roman" w:hAnsi="Times New Roman"/>
          <w:sz w:val="28"/>
          <w:szCs w:val="28"/>
        </w:rPr>
        <w:t xml:space="preserve">: </w:t>
      </w:r>
    </w:p>
    <w:p w:rsidR="00151CEA" w:rsidRPr="00241FB6" w:rsidRDefault="00151CEA" w:rsidP="00151CE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1) дружини (чоловіка);</w:t>
      </w:r>
    </w:p>
    <w:p w:rsidR="00151CEA" w:rsidRPr="00241FB6" w:rsidRDefault="00151CEA" w:rsidP="00151CE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2) дітей, братів, сестер та онуків, які не досягли 18 років або старших цього віку, якщо вони стали особами з інвалідністю до 18 років (братів, сестер та онуків – за умови, що вони не мають працездатних батьків), а студентів та учнів середніх професійно-технічних і вищих навчальних закладів з денною формою навчання – до 23 років;</w:t>
      </w:r>
    </w:p>
    <w:p w:rsidR="00151CEA" w:rsidRPr="00241FB6" w:rsidRDefault="00151CEA" w:rsidP="00151CE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3) батька, матері;</w:t>
      </w:r>
    </w:p>
    <w:p w:rsidR="00151CEA" w:rsidRPr="00241FB6" w:rsidRDefault="00151CEA" w:rsidP="00151C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4) дідуся та бабусі за прямою лінією спорідненості.</w:t>
      </w:r>
    </w:p>
    <w:p w:rsidR="00151CEA" w:rsidRPr="00241FB6" w:rsidRDefault="00151CEA" w:rsidP="00151CE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1FB6">
        <w:rPr>
          <w:rFonts w:ascii="Times New Roman" w:hAnsi="Times New Roman"/>
          <w:sz w:val="28"/>
          <w:szCs w:val="28"/>
        </w:rPr>
        <w:t>Окремо зазначимо, що до наведених даних не включено відшкодування Фондом вартості ритуальних послуг, пов’язаних з похованням померлого, які фінансуються ФССУ у разі смерті застрахованих осіб через нещасний випадок на виробництві або професійне захворювання.</w:t>
      </w:r>
    </w:p>
    <w:p w:rsidR="00FB0071" w:rsidRPr="00802CCB" w:rsidRDefault="00FB0071" w:rsidP="0087361F">
      <w:pPr>
        <w:ind w:left="4956" w:firstLine="714"/>
        <w:rPr>
          <w:rFonts w:ascii="Times New Roman" w:hAnsi="Times New Roman" w:cs="Times New Roman"/>
          <w:b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4602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2021-11-03T08:23:00Z</dcterms:created>
  <dcterms:modified xsi:type="dcterms:W3CDTF">2021-11-03T08:23:00Z</dcterms:modified>
</cp:coreProperties>
</file>